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78" w:rsidRPr="00A16B89" w:rsidRDefault="00A16B89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3568065</wp:posOffset>
            </wp:positionH>
            <wp:positionV relativeFrom="paragraph">
              <wp:posOffset>-11430</wp:posOffset>
            </wp:positionV>
            <wp:extent cx="435610" cy="712470"/>
            <wp:effectExtent l="0" t="0" r="254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B103C" w:rsidRPr="00A16B89" w:rsidRDefault="006B103C" w:rsidP="006B103C">
      <w:pPr>
        <w:spacing w:after="0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B103C" w:rsidRPr="00A16B89" w:rsidRDefault="006B103C" w:rsidP="006B103C">
      <w:pPr>
        <w:spacing w:after="0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B103C" w:rsidRPr="00A16B89" w:rsidRDefault="00550C78" w:rsidP="006B103C">
      <w:pPr>
        <w:spacing w:after="0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Затверджено </w:t>
      </w:r>
    </w:p>
    <w:p w:rsidR="006B103C" w:rsidRPr="00A16B89" w:rsidRDefault="00550C78" w:rsidP="006B103C">
      <w:pPr>
        <w:spacing w:after="0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наказом Державної фіскальної служби України </w:t>
      </w:r>
    </w:p>
    <w:p w:rsidR="00EA6BC9" w:rsidRPr="00A16B89" w:rsidRDefault="00550C78" w:rsidP="006B103C">
      <w:pPr>
        <w:spacing w:after="0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26 червня 2017 року № 450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16B89" w:rsidRDefault="00550C78" w:rsidP="006B103C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Регламент</w:t>
      </w:r>
      <w:r w:rsidR="00A16B8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val="uk-UA"/>
        </w:rPr>
        <w:footnoteReference w:id="1"/>
      </w:r>
    </w:p>
    <w:p w:rsidR="00550C78" w:rsidRPr="00A16B89" w:rsidRDefault="00550C78" w:rsidP="006B103C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комісії Державної фіскальної служби України, яка приймає рішення про реєстрацію податкової накладної/розрахунку коригування в Єдиному реєстрі податкових накладних або відмову в такій реєстрації</w:t>
      </w:r>
      <w:bookmarkEnd w:id="0"/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pacing w:val="-4"/>
          <w:w w:val="110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pacing w:val="-4"/>
          <w:w w:val="110"/>
          <w:sz w:val="24"/>
          <w:szCs w:val="24"/>
          <w:lang w:val="uk-UA"/>
        </w:rPr>
        <w:t xml:space="preserve">1. </w:t>
      </w:r>
      <w:r w:rsidR="00550C78" w:rsidRPr="00A16B89">
        <w:rPr>
          <w:rFonts w:ascii="Times New Roman" w:hAnsi="Times New Roman"/>
          <w:b/>
          <w:color w:val="000000" w:themeColor="text1"/>
          <w:spacing w:val="-4"/>
          <w:w w:val="110"/>
          <w:sz w:val="24"/>
          <w:szCs w:val="24"/>
          <w:lang w:val="uk-UA"/>
        </w:rPr>
        <w:t>Загальні положення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Регламент комісії Державної фіскальної служби України, яка приймає рішення про реєстрацію податкової накладної/розрахунку коригування в Єдиному реєстрі податкових накладних або відмову в такій реєстрації (далі — Регламент), є розпорядчим документом, який визначає організацію роботи комісії Державної фіскальної служби України, яка приймає рішення про реєстрацію податкової накладної/розрахунку коригування в Єдиному реєстрі податкових накладних або відмову в такій реєстрації (далі — Комісія ДФС), та порядок її взаємодії з головними управліннями ДФС в областях (далі — ГУ ДФС), м.Києві (далі — ГУ ДФС у м.Києві) та Офісом великих платників податків Державної фіскальної служби (далі — Офіс великих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плат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ників податків ДФС).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Комісія ДФС у своїй діяльності керується Конституцією України, законами України, указами Президента України і постановами Верховної Ради України, прийнятими відповідно до Конституції, Податкового кодексу України (далі — Кодекс) та законів України, актами Кабінету Міністрів України, Порядком роботи комісії Державної фіскальної служби України, яка приймає рішення про реєст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рацію податкової накладної/роз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рахунку коригування в Єдиному реєстрі податкових накладних або відмову в такій реєстрації, затвердженим наказом Міністерства фінансів України від 13.06.2017 р. № 566 «Про затвердження Порядку роботи комісії Державної фіскальної служби України, яка приймає рішення про реєстрацію податкової накладної/розрахунку коригування в Єдиному реєстрі податкових накладних або відмову в такій реєстрації», зареєстрованим у Міністерстві юстиції України 16.06.2017 р. за № 752/30620, та іншими актами законодавства, Положенням про Державну фіскальну службу України, Регламентом ДФС, положеннями про структурні підрозділи та територіальні органи ДФС, наказами і розпорядженнями ДФС та цим Регламентом.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2. </w:t>
      </w:r>
      <w:r w:rsidR="00550C78"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Склад Комісії ДФС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До складу Комісії ДФС включаються посадові особи Державної фіскальної служби України.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Комісія ДФС складається з Голови Комісії ДФС, заступника Голови Комісії ДФС, секретарів Комісії ДФС та не менше ніж семи членів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2.3.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Членами Комісії ДФС є представники 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структурних підрозділів</w:t>
      </w:r>
      <w:r w:rsidR="00A16B89">
        <w:rPr>
          <w:rStyle w:val="a7"/>
          <w:rFonts w:ascii="Times New Roman" w:hAnsi="Times New Roman"/>
          <w:color w:val="000000" w:themeColor="text1"/>
          <w:sz w:val="24"/>
          <w:szCs w:val="24"/>
          <w:lang w:val="uk-UA"/>
        </w:rPr>
        <w:footnoteReference w:id="2"/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Департаменту м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оніторингу доходів та обліково-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звітних систем;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Департаменту обслуговування платників;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Департаменту адміністративного оскарження та судового супроводження;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Департаменту податків і зборів з юридичних осіб; Департаменту податків і зборів з фізичних осіб; Департаменту аудиту;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Департаменту боротьби з відмиванням доходів, одержаних злочинним шляхом;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Регуляторно-правового департаменту; Головного оперативного управління.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2.4.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Кількісний та персональний склад Комісії ДФС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затверджується наказом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2.5.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У разі внесення змін, включення (виключення) членів до (зі) складу Комісії ДФС керівник структурного підрозділу ДФС, посадові особи якого є членами Комісії ДФС, повідомляє Голову Комісії ДФС шляхом подання доповідної або службової записки.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3. </w:t>
      </w:r>
      <w:r w:rsidR="00550C78"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Голова Комісії ДФС</w:t>
      </w:r>
    </w:p>
    <w:p w:rsidR="00550C78" w:rsidRPr="00A16B89" w:rsidRDefault="006B103C" w:rsidP="00A16B89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 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Голова Комісії ДФС: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організовує роботу Комісії ДФС та координує роботу її членів;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головує на засіданнях Комісії ДФС та визначає коло питань, що підлягають розгляду;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3.1.3.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визначає функціональні обов’язки кожного члена Комісії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3.1.4.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відповідає за виконання покладених на Комісію ДФС функцій;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3.1.5.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забезпечує взаємодію Комісії ДФС із територіальними органами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3.1.6.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готує документи щодо діяльності Комісії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3.1.7.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готує та надає зведену аналітичну інформацію Голові ДФС (особі, яка виконує його обов’язки) та іншим особам за його визначенням;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3.1.8.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ініціює питання зміни персонального складу Комісії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3.1.9.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забезпечує вирішення інших питань, що стосуються реалізації повноважень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У разі відсутності Голови Комісії ДФС його обов’язки виконує заступник Голови Комісії ДФС. А у разі відсутності на засіданні Комісії ДФС її Голови та його заступника обов’язки головуючого виконує один із членів Комісії ДФС, що обирається на цьому засіданні.</w:t>
      </w:r>
    </w:p>
    <w:p w:rsidR="006B103C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3.3.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Голова Комісії ДФС відповідає за виконання пок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ладених на Комісію ДФС функцій:</w:t>
      </w:r>
    </w:p>
    <w:p w:rsidR="006B103C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наліз письмових пояснень та/або копій документів, визначених у підпункті «в» підпункту 201.16.1 пункту 201.16 статті 201 Кодексу, з метою прийняття рішення про реєстрацію податкової накладної/розрахунку коригування в Єдиному реєстрі податкових накладних 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або відмову в такій реєстрації;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розгляд інформації, поданої платником податку за формою згідно з додатком до Критеріїв оцінки ступеня ризиків, достатніх для зупинення реєстрації податкової накладної/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розрахунку коригування в Єдино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му реєстрі податкових накладних (далі — Критерії), затверджених наказом Міністерства фінансів України від 13.06.2017 р. № 567 «Про затвердження Критеріїв оцінки ступеня ризиків, достатніх для зупинення реєстрації податкової накладної/розрахунку коригування в Єдиному реєстрі податкових накладних та Вичерпного переліку документів, достатніх для прийняття рішення про реєстрацію податкової накладної/розрахунку коригування в Єдиному реєстрі податкових накладних», який зареєстрований у Міністерстві юстиції України 16.06.2017 р. за № 753/30621 (далі — Таблиця даних платника податку), яка н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адана платником податку до ДФС;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розгляд висновків контролюючих органів з пропозицією щодо реєстрації 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податкової накладної/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розрахунку коригування в Єдиному реєстрі податкових накладних або про відмову в такій реєстрації;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розгляд висновків контролюючих органів з пропозицією щодо врахування/неврахування інформації, зазначеної в 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Таблиці даних платника податку;</w:t>
      </w:r>
    </w:p>
    <w:p w:rsidR="006B103C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адання пропозицій щодо удосконалення роботи автоматизованого моніторингу відповідності податкових накладних/розрахунків коригування критеріям оцінки ступеня ризиків, достатніх для зупинення реєстрації податкової накладної/розрахунку коригування в Єдиному реєстрі податкових накладних (далі 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— СМ КОР);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прийняття рішень про розробку та/або врахування наданих пропозицій щодо удо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сконалення СМ КОР та Критеріїв;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прийняття Рішення про реєстрацію податкової накладної/розрахунку коригування в Єдиному реєстрі податкових накладних або відмову в такій реєстрації та/або Рішення про врахування/неврахування інформації, зазначеної у Таблиці даних плат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ника податків (далі — Рішення);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надання оцінки діяльності Робочих груп територіальних органів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4. </w:t>
      </w:r>
      <w:r w:rsidR="00550C78"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Секретар Комісії ДФС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Секретар Комісії ДФС: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4.1.1.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готує проекти письмових доручень Голови Комісії ДФС (або особи, яка виконує його обов’язки);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4.1.2.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забезпечує підготовку проведення засідань та матеріалів, що підлягають розгляду на засіданнях Комісії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4.1.3.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оформляє протоколи засідань Комісії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4.1.4.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збирає та передає членам Комісії ДФС на визначену офіційну електронну скриньку для забезпечення телекомунікаційного зв’язку матеріали, що підлягають розгляду на засіданнях Комісії ДФС, з метою прийняття Рішення, удосконалення роботи СМ КОР та Критеріїв, оцінки діяльності Робочих груп;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4.1.5.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забезпечує формування Рішень за встановленими формами та надсилання їх платнику податку на додану вартість;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4.1.6.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веде журнал обліку Рішень Комісії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4.1.7.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веде діловодство Комісії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4.1.8.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надає Голові Комісії ДФС зведену інформацію щодо результатів проведених нарад та прийнятих Рішень.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4.2. У разі відсутності на засіданні Комісії ДФС її секретаря його обов’язки виконує один із членів Комісії ДФС, що обирається на цьому засіданні.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5. </w:t>
      </w:r>
      <w:r w:rsidR="00550C78"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Матеріали, що виносяться на розгляд Комісії ДФС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Матеріали, що виносяться на розгляд Комісії ДФС, включають: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5.1.1.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перелік питань для розгляду на засіданні Комісії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5.1.2.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письмові пояснення та/або копії документів платника податку стосовно підтвердження інформації, зазначеної у податковій накладній/розрахунку коригування, до якої/якого застосована процедура зупинення реєстрації;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5.1.3.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Таблицю 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даних платника податку, яка на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дана платником податку до ДФС;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5.1.4.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висновок контролюючих органів з пропозицією щодо реєстрації податкової накладної/розрахунку коригування в Єдиному реєстрі податкових накладних або відмову в такій реєстрації;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5.1.5.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висновок контролюючих органів з пропозицією щодо врахуван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ня/неврахування інформації, за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значеної у Таблиці даних платника податку;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5.1.6.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пропозиції щодо удосконалення роботи СМ КОР;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5.1.7.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інформацію про діяльність Робочих груп та пропозиції щодо надання їй оцінки.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Формування матеріалів, що виносяться на розгляд Комісії ДФС, забезпечується секретарями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5.3.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Голова, заступник Голови та члени Комісії ДФС здійснюють аналіз отриманих матеріалів, що підлягають розгляду на засіданнях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6. </w:t>
      </w:r>
      <w:r w:rsidR="00550C78"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Проведення засідань Комісії ДФС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Голова, заступник Голови, секретарі та члени Комісії ДФС беруть участь у засіданні особисто.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Голова, заступник Голови, секретарі та члени Комісії ДФС не мають права делегувати своїх представників для участі в засіданні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6.3.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Засідання Комісії ДФС є правомочним, якщо на ньому присутні не менш як дві третини її затвердженого персонального складу.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6.4.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Засідання Комісії ДФС проводиться обов’язково кожного робочого дня два рази на день о 10 год 00 хв та о 15 год 00 хв за наявності документів для розгляду, з аудіо- та відеофіксацією.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6.5.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У разі потреби проведення додаткового засідання пропозиції надаються ініціатором Голові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6.6.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 Комісії ДФС приймається шляхом відкритого голосування.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6.6.1.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 вважається прийнятим, якщо за нього проголосувала більшість присутніх на засіданні осіб з числа затвердженого персонального складу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6.6.2.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У разі рівної кількості голосів голос головуючого є вирішальним.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6.7.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 час засідання секретарем Комісії ДФС ведеться протокол, в якому фіксуються прийняті Рішення та надані доручення.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6.8.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Протокол підписується Головою Комісії ДФС (у разі його відсутності — заступником), заступником Голови Комісії ДФС, секретарями Комісії ДФС та членами Комісії ДФС, які брали участь у засіданні.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6.9.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обліку матеріалів роботи Комісії ДФС покладається на секретарів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6.10.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Присутній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засіданні Комісії ДФС Голо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ва Комісії ДФС, заступник Голови Комісії ДФС, секретар Комісії ДФС або член Комісії ДФС, який не згоден з рішенням Комісії ДФС або утримався від голосування, повинен викласти письмово окрему думку, яка додається до матеріалів засідання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7. </w:t>
      </w:r>
      <w:r w:rsidR="00550C78"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Інформаційне забезпечення Комісії ДФС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Діяльність Комісії ДФС базуєт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ься на системній ос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нові з отримання, обробки, формування, надсилання і надання відповідної інформації засобами інформаційних та телекомуні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каційних систем ДФС з метою ви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конання покладених на Комісію ДФС функцій, завдань та обов’язків.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8. </w:t>
      </w:r>
      <w:r w:rsidR="00550C78"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Реалізація та збереження матеріалів засідання Комісії ДФС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Прийняті К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омісією ДФС Рішення надсилають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ся платнику податків протягом п’яти робочих днів, що настають за днем отримання пояснень та документів, поданих відповідно до підпункту 201.16.2 пункту 201.16 статті 201 Кодексу, та/або Таблиці даних платника податку засобами електронного зв’язку в електронній формі з дотриманням вимог законів щодо електронного документообігу та електронного цифрового підпису шляхом надіслання документа в електронний кабінет з одночасним надсиланням платнику податків на його електронну адресу (адреси) інформації про вид документа, дату та час його надіслання в електронний кабінет.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Рішення, при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йняті Комісією ДФС, реєструють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ся в журналі.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8.3.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Матеріали засідання Комісії ДФС зберіга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ють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ся десять років.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9. Взаємодія Комісії ДФС </w:t>
      </w:r>
      <w:r w:rsidR="00550C78"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із територіальними органами ДФС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забезпечення належної організації роботи та функціонування Комісії ДФС на постійній основі в ГУ ДФС, ГУ ДФС у м.Києві та Офісі великих платників податків ДФС створюються Робочі групи.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Робочі групи формуються по секторах: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 платників п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одатків, які перебувають на об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ліку в ГУ ДФС у За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карпатській, Львівській, Івано-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Франківській, Тернопільській, Чернівецькій, Волинській, Рівненській областях;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 платників податків, які перебувають на обліку в ГУ ДФС у Хмельницькій, Житомирській, Київській, Чернігівській, Черкаській областях та в Офісі великих платників податків ДФС;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 платників п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одатків, які перебувають на об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ліку в ГУ ДФС у Дніпропетровській, Кіровоградській, Полтавській, Запорізькій областях;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 платників п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одатків, які перебувають на об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ліку в ГУ ДФС у Вінницькій, Миколаївській, Одеській, Херсонській областях;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 платників п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одатків, які перебувають на об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ліку в ГУ ДФС у Луганській, Донецькій, Харківській, Сумській областях;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 платників п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одатків, які перебувають на об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ліку в ГУ ДФС у м.Києві.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9.3.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кожним сектором закріплюється Головою Комісії ДФС секретар Комісії ДФС з метою виконання завдань та обов’язків, передбачених пунктом 4 цього Регламенту.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9.4.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Керівником Р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обочої групи призначається пер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ший заступник або заступник начальника ГУ ДФС, ГУ ДФС у м.Києві та Офісу великих платників податків ДФС. До складу Робочих груп включаються представники з числа працівників структурних підрозділів:</w:t>
      </w:r>
    </w:p>
    <w:p w:rsidR="00550C78" w:rsidRPr="00A16B89" w:rsidRDefault="00550C78" w:rsidP="006B103C">
      <w:pPr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моніторингу доходів та обліково-звітних систем; обслуговування платників;</w:t>
      </w:r>
    </w:p>
    <w:p w:rsidR="00550C78" w:rsidRPr="00A16B89" w:rsidRDefault="00550C78" w:rsidP="006B103C">
      <w:pPr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податків і зборів з юридичних осіб; податків і зборів з фізичних осіб; аудиту;</w:t>
      </w:r>
    </w:p>
    <w:p w:rsidR="00550C78" w:rsidRPr="00A16B89" w:rsidRDefault="00550C78" w:rsidP="006B103C">
      <w:pPr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оперативного управління,</w:t>
      </w:r>
    </w:p>
    <w:p w:rsidR="00550C78" w:rsidRPr="00A16B89" w:rsidRDefault="00550C78" w:rsidP="006B103C">
      <w:pPr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а також представники інших структурних підрозділів за визначенням керівника головного управління.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9.5.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Завдання, які надаються Робочій групі Головою Комісії ДФС, заступником Голови Комісії ДФС та відповідними секретарями Комісії ДФС, є першочерговими і обов’язковими для виконання.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9.6.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Завданнями Робочої групи є: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аналіз письмових пояснень та/або копій документів, визначених у підпункті «в» підпункту 201.16.1 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пункту 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201.16 статті 201 Кодексу,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які надані платником податків;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розгляд Таблиці даних платника податку; формування та надсилання до Комісії ДФС висновків контролюючих органів з пропозицією щодо врахування/неврахування інформації, зазначеної у 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Таблиці даних платника податку;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формування та надсилання до Комісії ДФС висновків контролюючих органів з пропозицією щодо реєстрації податкової накладної/розрахунку коригування в Єдиному реєстрі податкових накладних 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або відмови в такій реєстрації;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надання пропозицій щодо удосконалення роботи СМ КОР.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9.7.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Протягом 3 робочих днів з дня отримання письмових пояснень та/або копій документів, визначених у підпункті «в» підпункту 201.16.1 пункту 201.16 статті 201 Кодексу та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/або Таблиці даних платника по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датку, розроблені матеріали, визначені підпунктом 9.6 цього Регламенту, Робоча група передає на розгляд до Комісії ДФС.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9.8.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дві години до проведення засідання Комісії ДФС секретарі Комісії ДФС узагальнюють матеріали, отримані від Робочих груп, які будуть розглянуті на такому засіданні, та н</w:t>
      </w:r>
      <w:r w:rsid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адсилають їх засобами електрон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ного зв’язку членам Комісії ДФС.</w:t>
      </w:r>
    </w:p>
    <w:p w:rsidR="006B103C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9.9.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Не пізніше 5 робочих днів з дня отримання письмових пояснень та/або копій документів, визначених у підпункті «в» підпункту 201.16.1 пункту 201.16 статті 201 Кодексу та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/або Таблиці даних платника по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датків, Комісія ДФС розглядає отримані матеріали та </w:t>
      </w: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виносить остаточне рішення про:</w:t>
      </w:r>
    </w:p>
    <w:p w:rsidR="006B103C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реєстрацію податкової накладної/розрахунку коригування в Єдиному реєстрі податкових накладних </w:t>
      </w:r>
      <w:r w:rsidR="006B103C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або відмову в такій реєстрації;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врахування/неврахування інформації, зазначеної у Таблиці даних платника податку.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9.10.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Робочі групи надають Комісії ДФС пропозиції щодо удосконалення СМ КОР та Критеріїв.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Термін — до 5 числа кожного місяця.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9.11.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Комісія ДФС здійснює вибірковий аналіз висновків контролюючих органів з пропозицією щодо врахування/неврахування інформації, зазначеної у Таблиці даних платника податку та/або реєстрації податкової накладної/розрахунку коригування в Єдиному реєстрі податкових накладних або відмови в такій реєстрації, сформованих Робочими групами.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Термін — до 3 числа кожного місяця.</w:t>
      </w:r>
    </w:p>
    <w:p w:rsidR="00550C78" w:rsidRPr="00A16B89" w:rsidRDefault="006B103C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9.12. </w:t>
      </w:r>
      <w:r w:rsidR="00550C78" w:rsidRPr="00A16B89">
        <w:rPr>
          <w:rFonts w:ascii="Times New Roman" w:hAnsi="Times New Roman"/>
          <w:color w:val="000000" w:themeColor="text1"/>
          <w:sz w:val="24"/>
          <w:szCs w:val="24"/>
          <w:lang w:val="uk-UA"/>
        </w:rPr>
        <w:t>Керівники Робочих груп несуть персональну відповідальність за інформацію та пропозиції, які надаються Комісії ДФС, їх якість та своєчасність.</w:t>
      </w: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50C78" w:rsidRPr="00A16B89" w:rsidRDefault="00550C78" w:rsidP="006B103C">
      <w:pPr>
        <w:spacing w:after="12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Директор Департаменту моніторингу доходів та обліково-звітних систем </w:t>
      </w:r>
      <w:r w:rsidR="006B103C"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A16B8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М.ЧМЕРУК</w:t>
      </w:r>
    </w:p>
    <w:sectPr w:rsidR="00550C78" w:rsidRPr="00A16B89" w:rsidSect="00550C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11" w:rsidRDefault="00234211">
      <w:pPr>
        <w:spacing w:after="0" w:line="240" w:lineRule="auto"/>
      </w:pPr>
      <w:r>
        <w:separator/>
      </w:r>
    </w:p>
  </w:endnote>
  <w:endnote w:type="continuationSeparator" w:id="0">
    <w:p w:rsidR="00234211" w:rsidRDefault="0023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11" w:rsidRDefault="00234211">
      <w:pPr>
        <w:spacing w:after="0" w:line="240" w:lineRule="auto"/>
      </w:pPr>
      <w:r>
        <w:separator/>
      </w:r>
    </w:p>
  </w:footnote>
  <w:footnote w:type="continuationSeparator" w:id="0">
    <w:p w:rsidR="00234211" w:rsidRDefault="00234211">
      <w:pPr>
        <w:spacing w:after="0" w:line="240" w:lineRule="auto"/>
      </w:pPr>
      <w:r>
        <w:continuationSeparator/>
      </w:r>
    </w:p>
  </w:footnote>
  <w:footnote w:id="1">
    <w:p w:rsidR="00A16B89" w:rsidRPr="00A16B89" w:rsidRDefault="00A16B89">
      <w:pPr>
        <w:pStyle w:val="a5"/>
        <w:rPr>
          <w:rFonts w:ascii="Times New Roman" w:hAnsi="Times New Roman"/>
          <w:color w:val="000000"/>
          <w:lang w:val="uk-UA"/>
        </w:rPr>
      </w:pPr>
      <w:r>
        <w:rPr>
          <w:rStyle w:val="a7"/>
        </w:rPr>
        <w:footnoteRef/>
      </w:r>
      <w:r>
        <w:t xml:space="preserve"> </w:t>
      </w:r>
      <w:r w:rsidRPr="00A16B89">
        <w:rPr>
          <w:rFonts w:ascii="Times New Roman" w:hAnsi="Times New Roman"/>
          <w:color w:val="000000"/>
          <w:lang w:val="uk-UA"/>
        </w:rPr>
        <w:t>Затверджено на виконання наказу Міністерства фінансів України від 13.06.2017 р. № 566 «Про затвердження Порядку роботи комісії Державної фіскальної служби України, яка приймає рішення про реєстрацію податкової накладної/розрахунку коригування в Єдиному реєстрі податкових накладних або відмову в такій реєстрації»</w:t>
      </w:r>
    </w:p>
  </w:footnote>
  <w:footnote w:id="2">
    <w:p w:rsidR="00A16B89" w:rsidRPr="00A16B89" w:rsidRDefault="00A16B89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A16B89">
        <w:rPr>
          <w:rFonts w:ascii="Times New Roman" w:hAnsi="Times New Roman"/>
          <w:color w:val="000000"/>
          <w:lang w:val="uk-UA"/>
        </w:rPr>
        <w:t>Персональний склад комісії затверджено наказом ДФС від 30.06.2017 р. № 462 (не публікується).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914"/>
    <w:multiLevelType w:val="hybridMultilevel"/>
    <w:tmpl w:val="C438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7147"/>
    <w:multiLevelType w:val="multilevel"/>
    <w:tmpl w:val="D8549B0C"/>
    <w:lvl w:ilvl="0">
      <w:start w:val="1"/>
      <w:numFmt w:val="decimal"/>
      <w:lvlText w:val="%1."/>
      <w:lvlJc w:val="left"/>
      <w:pPr>
        <w:ind w:left="109" w:hanging="285"/>
      </w:pPr>
      <w:rPr>
        <w:rFonts w:hint="default"/>
        <w:b/>
        <w:bCs/>
        <w:spacing w:val="0"/>
        <w:w w:val="74"/>
      </w:rPr>
    </w:lvl>
    <w:lvl w:ilvl="1">
      <w:start w:val="1"/>
      <w:numFmt w:val="decimal"/>
      <w:lvlText w:val="%1.%2."/>
      <w:lvlJc w:val="left"/>
      <w:pPr>
        <w:ind w:left="109" w:hanging="417"/>
      </w:pPr>
      <w:rPr>
        <w:rFonts w:hint="default"/>
        <w:b/>
        <w:bCs/>
        <w:spacing w:val="-4"/>
        <w:w w:val="101"/>
      </w:rPr>
    </w:lvl>
    <w:lvl w:ilvl="2">
      <w:start w:val="1"/>
      <w:numFmt w:val="decimal"/>
      <w:lvlText w:val="%1.%2.%3."/>
      <w:lvlJc w:val="left"/>
      <w:pPr>
        <w:ind w:left="109" w:hanging="417"/>
      </w:pPr>
      <w:rPr>
        <w:rFonts w:ascii="Verdana" w:eastAsia="Verdana" w:hAnsi="Verdana" w:cs="Verdana" w:hint="default"/>
        <w:b/>
        <w:bCs/>
        <w:color w:val="231F20"/>
        <w:spacing w:val="-1"/>
        <w:w w:val="101"/>
        <w:sz w:val="17"/>
        <w:szCs w:val="17"/>
      </w:rPr>
    </w:lvl>
    <w:lvl w:ilvl="3">
      <w:numFmt w:val="bullet"/>
      <w:lvlText w:val="•"/>
      <w:lvlJc w:val="left"/>
      <w:pPr>
        <w:ind w:left="625" w:hanging="417"/>
      </w:pPr>
      <w:rPr>
        <w:rFonts w:hint="default"/>
      </w:rPr>
    </w:lvl>
    <w:lvl w:ilvl="4">
      <w:numFmt w:val="bullet"/>
      <w:lvlText w:val="•"/>
      <w:lvlJc w:val="left"/>
      <w:pPr>
        <w:ind w:left="430" w:hanging="417"/>
      </w:pPr>
      <w:rPr>
        <w:rFonts w:hint="default"/>
      </w:rPr>
    </w:lvl>
    <w:lvl w:ilvl="5">
      <w:numFmt w:val="bullet"/>
      <w:lvlText w:val="•"/>
      <w:lvlJc w:val="left"/>
      <w:pPr>
        <w:ind w:left="235" w:hanging="417"/>
      </w:pPr>
      <w:rPr>
        <w:rFonts w:hint="default"/>
      </w:rPr>
    </w:lvl>
    <w:lvl w:ilvl="6">
      <w:numFmt w:val="bullet"/>
      <w:lvlText w:val="•"/>
      <w:lvlJc w:val="left"/>
      <w:pPr>
        <w:ind w:left="40" w:hanging="417"/>
      </w:pPr>
      <w:rPr>
        <w:rFonts w:hint="default"/>
      </w:rPr>
    </w:lvl>
    <w:lvl w:ilvl="7">
      <w:numFmt w:val="bullet"/>
      <w:lvlText w:val="•"/>
      <w:lvlJc w:val="left"/>
      <w:pPr>
        <w:ind w:left="-155" w:hanging="417"/>
      </w:pPr>
      <w:rPr>
        <w:rFonts w:hint="default"/>
      </w:rPr>
    </w:lvl>
    <w:lvl w:ilvl="8">
      <w:numFmt w:val="bullet"/>
      <w:lvlText w:val="•"/>
      <w:lvlJc w:val="left"/>
      <w:pPr>
        <w:ind w:left="-350" w:hanging="4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78"/>
    <w:rsid w:val="00234211"/>
    <w:rsid w:val="002D2AE7"/>
    <w:rsid w:val="00550C78"/>
    <w:rsid w:val="006B103C"/>
    <w:rsid w:val="00802CD3"/>
    <w:rsid w:val="00A16B89"/>
    <w:rsid w:val="00E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8996C-5D44-45F2-BD9E-238733E2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0C78"/>
    <w:pPr>
      <w:widowControl w:val="0"/>
      <w:autoSpaceDE w:val="0"/>
      <w:autoSpaceDN w:val="0"/>
      <w:spacing w:after="0" w:line="240" w:lineRule="auto"/>
      <w:ind w:left="109"/>
    </w:pPr>
    <w:rPr>
      <w:rFonts w:ascii="Arial" w:eastAsia="Arial" w:hAnsi="Arial" w:cs="Arial"/>
      <w:sz w:val="17"/>
      <w:szCs w:val="17"/>
      <w:lang w:val="en-US"/>
    </w:rPr>
  </w:style>
  <w:style w:type="character" w:customStyle="1" w:styleId="a4">
    <w:name w:val="Основной текст Знак"/>
    <w:link w:val="a3"/>
    <w:uiPriority w:val="1"/>
    <w:rsid w:val="00550C78"/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ListParagraph">
    <w:name w:val="List Paragraph"/>
    <w:basedOn w:val="a"/>
    <w:uiPriority w:val="1"/>
    <w:qFormat/>
    <w:rsid w:val="00550C78"/>
    <w:pPr>
      <w:widowControl w:val="0"/>
      <w:autoSpaceDE w:val="0"/>
      <w:autoSpaceDN w:val="0"/>
      <w:spacing w:after="0" w:line="240" w:lineRule="auto"/>
      <w:ind w:left="109" w:firstLine="280"/>
      <w:jc w:val="both"/>
    </w:pPr>
    <w:rPr>
      <w:rFonts w:ascii="Arial" w:eastAsia="Arial" w:hAnsi="Arial" w:cs="Arial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A16B8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6B89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A16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852C-988C-4CE1-BC7B-5E91D1E6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Taxlink</dc:creator>
  <cp:keywords/>
  <dc:description/>
  <cp:lastModifiedBy>Андрей Леонец</cp:lastModifiedBy>
  <cp:revision>2</cp:revision>
  <dcterms:created xsi:type="dcterms:W3CDTF">2017-07-18T06:42:00Z</dcterms:created>
  <dcterms:modified xsi:type="dcterms:W3CDTF">2017-07-18T06:42:00Z</dcterms:modified>
</cp:coreProperties>
</file>